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359" w:rsidRPr="00C92359" w:rsidRDefault="00C92359" w:rsidP="00C92359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en-GB" w:eastAsia="x-none"/>
        </w:rPr>
      </w:pPr>
      <w:bookmarkStart w:id="0" w:name="_GoBack"/>
      <w:bookmarkEnd w:id="0"/>
      <w:r w:rsidRPr="00C92359">
        <w:rPr>
          <w:rFonts w:eastAsia="MS Mincho"/>
          <w:b/>
          <w:sz w:val="24"/>
          <w:szCs w:val="24"/>
          <w:lang w:val="en-GB" w:eastAsia="x-none"/>
        </w:rPr>
        <w:t>3GPP TSG-RAN WG2 Meeting #107</w:t>
      </w:r>
      <w:r w:rsidRPr="00C92359">
        <w:rPr>
          <w:rFonts w:eastAsia="MS Mincho"/>
          <w:b/>
          <w:sz w:val="24"/>
          <w:szCs w:val="24"/>
          <w:lang w:val="en-GB" w:eastAsia="x-none"/>
        </w:rPr>
        <w:tab/>
        <w:t>R2-19</w:t>
      </w:r>
      <w:r w:rsidR="00C728FF" w:rsidRPr="00C728FF">
        <w:rPr>
          <w:rFonts w:eastAsia="MS Mincho"/>
          <w:b/>
          <w:sz w:val="24"/>
          <w:szCs w:val="24"/>
          <w:lang w:val="en-GB" w:eastAsia="x-none"/>
        </w:rPr>
        <w:t>10774</w:t>
      </w:r>
    </w:p>
    <w:p w:rsidR="00C92359" w:rsidRPr="00C92359" w:rsidRDefault="00C92359" w:rsidP="00C92359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en-GB" w:eastAsia="x-none"/>
        </w:rPr>
      </w:pPr>
      <w:r w:rsidRPr="00C92359">
        <w:rPr>
          <w:rFonts w:eastAsia="MS Mincho"/>
          <w:b/>
          <w:sz w:val="24"/>
          <w:szCs w:val="24"/>
          <w:lang w:val="en-GB" w:eastAsia="x-none"/>
        </w:rPr>
        <w:t>Prague, Czech Republic,</w:t>
      </w:r>
      <w:r>
        <w:rPr>
          <w:rFonts w:eastAsia="MS Mincho"/>
          <w:b/>
          <w:sz w:val="24"/>
          <w:szCs w:val="24"/>
          <w:lang w:val="en-GB" w:eastAsia="x-none"/>
        </w:rPr>
        <w:t xml:space="preserve"> </w:t>
      </w:r>
      <w:r w:rsidRPr="00C92359">
        <w:rPr>
          <w:rFonts w:eastAsia="MS Mincho"/>
          <w:b/>
          <w:sz w:val="24"/>
          <w:szCs w:val="24"/>
          <w:lang w:val="en-GB" w:eastAsia="x-none"/>
        </w:rPr>
        <w:t>26th - 30th August 2019</w:t>
      </w:r>
    </w:p>
    <w:p w:rsidR="005F705D" w:rsidRPr="005D2C51" w:rsidRDefault="005F705D" w:rsidP="005F705D">
      <w:pPr>
        <w:tabs>
          <w:tab w:val="left" w:pos="567"/>
        </w:tabs>
        <w:rPr>
          <w:rStyle w:val="apple-style-span"/>
          <w:rFonts w:cs="Arial"/>
          <w:sz w:val="16"/>
          <w:szCs w:val="16"/>
        </w:rPr>
      </w:pPr>
    </w:p>
    <w:p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1" w:name="Source"/>
      <w:bookmarkEnd w:id="1"/>
      <w:r w:rsidR="00E06B55">
        <w:rPr>
          <w:b/>
          <w:sz w:val="24"/>
          <w:szCs w:val="24"/>
        </w:rPr>
        <w:t>11.1.</w:t>
      </w:r>
      <w:r w:rsidR="003A3F9A">
        <w:rPr>
          <w:b/>
          <w:sz w:val="24"/>
          <w:szCs w:val="24"/>
        </w:rPr>
        <w:t>5</w:t>
      </w:r>
    </w:p>
    <w:p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:rsidR="00745452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5F705D">
        <w:rPr>
          <w:b/>
          <w:sz w:val="24"/>
          <w:szCs w:val="24"/>
        </w:rPr>
        <w:tab/>
      </w:r>
      <w:r w:rsidR="005264EA" w:rsidRPr="005264EA">
        <w:rPr>
          <w:b/>
          <w:sz w:val="24"/>
          <w:szCs w:val="24"/>
        </w:rPr>
        <w:t>Control of pre-emptive SR/BSR functionality for low-latency scheduling</w:t>
      </w:r>
    </w:p>
    <w:p w:rsidR="00A64CF7" w:rsidRPr="00A11840" w:rsidRDefault="0060603E" w:rsidP="004131D6">
      <w:pPr>
        <w:ind w:left="1800" w:hanging="1800"/>
        <w:rPr>
          <w:sz w:val="16"/>
          <w:szCs w:val="16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2" w:name="DocumentFor"/>
      <w:bookmarkEnd w:id="2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:rsidR="004A7002" w:rsidRDefault="004A7002" w:rsidP="004A7002">
      <w:pPr>
        <w:pStyle w:val="Heading1"/>
        <w:keepLines/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183CB7">
        <w:t>Introduction</w:t>
      </w:r>
    </w:p>
    <w:p w:rsidR="00A61CB6" w:rsidRDefault="00B01529" w:rsidP="004A700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At RAN2#105bis meeting the following agreement was made rega</w:t>
      </w:r>
      <w:r w:rsidR="0038500A">
        <w:rPr>
          <w:rFonts w:ascii="Calibri" w:eastAsia="Malgun Gothic" w:hAnsi="Calibri" w:cs="Batang"/>
          <w:lang w:val="en-GB" w:eastAsia="ko-KR"/>
        </w:rPr>
        <w:t>rding a possible method to reduce scheduling latency for upstream traffic in an IAB network</w:t>
      </w:r>
      <w:r>
        <w:rPr>
          <w:rFonts w:ascii="Calibri" w:eastAsia="Malgun Gothic" w:hAnsi="Calibri" w:cs="Batang"/>
          <w:lang w:val="en-GB" w:eastAsia="ko-KR"/>
        </w:rPr>
        <w:t>:</w:t>
      </w:r>
    </w:p>
    <w:p w:rsidR="0038500A" w:rsidRDefault="0038500A" w:rsidP="0038500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  <w:overflowPunct/>
        <w:autoSpaceDE/>
        <w:autoSpaceDN/>
        <w:adjustRightInd/>
        <w:spacing w:after="0"/>
        <w:ind w:left="1619"/>
        <w:jc w:val="both"/>
        <w:textAlignment w:val="auto"/>
      </w:pPr>
      <w:r>
        <w:rPr>
          <w:rFonts w:cs="Arial"/>
        </w:rPr>
        <w:t>One method by which the IAB-node can reduce UL scheduling latency is through signalling of SR and/or BSR to its parent node, e.g., based on UL grants provided to child nodes and/or UEs, or based on SRs and/or BSRs from a child nodes or UEs.</w:t>
      </w:r>
    </w:p>
    <w:p w:rsidR="00A61CB6" w:rsidRDefault="00A61CB6" w:rsidP="004A7002">
      <w:pPr>
        <w:rPr>
          <w:rFonts w:ascii="Calibri" w:eastAsia="Malgun Gothic" w:hAnsi="Calibri" w:cs="Batang"/>
          <w:lang w:val="en-GB" w:eastAsia="ko-KR"/>
        </w:rPr>
      </w:pPr>
    </w:p>
    <w:p w:rsidR="00A61CB6" w:rsidRDefault="0038500A" w:rsidP="004A700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Further, at the RAN2#106 meeting the following email discussion </w:t>
      </w:r>
      <w:r w:rsidR="00857154">
        <w:rPr>
          <w:rFonts w:ascii="Calibri" w:eastAsia="Malgun Gothic" w:hAnsi="Calibri" w:cs="Batang"/>
          <w:lang w:val="en-GB" w:eastAsia="ko-KR"/>
        </w:rPr>
        <w:t>was assigned to discuss various details of pre-emptive SR/BSR functionality, and after three phases, several proposals were drafted by the Rapporteur for consideration</w:t>
      </w:r>
      <w:r w:rsidR="004E748E">
        <w:rPr>
          <w:rFonts w:ascii="Calibri" w:eastAsia="Malgun Gothic" w:hAnsi="Calibri" w:cs="Batang"/>
          <w:lang w:val="en-GB" w:eastAsia="ko-KR"/>
        </w:rPr>
        <w:t>.</w:t>
      </w:r>
      <w:r w:rsidR="00AE7CA4">
        <w:rPr>
          <w:rFonts w:ascii="Calibri" w:eastAsia="Malgun Gothic" w:hAnsi="Calibri" w:cs="Batang"/>
          <w:lang w:val="en-GB" w:eastAsia="ko-KR"/>
        </w:rPr>
        <w:t xml:space="preserve"> </w:t>
      </w:r>
      <w:r w:rsidR="00A61CB6">
        <w:rPr>
          <w:rFonts w:ascii="Calibri" w:eastAsia="Malgun Gothic" w:hAnsi="Calibri" w:cs="Batang"/>
          <w:lang w:val="en-GB" w:eastAsia="ko-KR"/>
        </w:rPr>
        <w:t xml:space="preserve"> </w:t>
      </w:r>
    </w:p>
    <w:p w:rsidR="0038500A" w:rsidRDefault="0038500A" w:rsidP="0038500A">
      <w:pPr>
        <w:pStyle w:val="Doc-title"/>
        <w:ind w:left="1979"/>
        <w:jc w:val="both"/>
      </w:pPr>
      <w:r>
        <w:t>[106#46][IAB] Low-latency scheduling (Samsung)</w:t>
      </w:r>
    </w:p>
    <w:p w:rsidR="0038500A" w:rsidRDefault="0038500A" w:rsidP="0038500A">
      <w:pPr>
        <w:pStyle w:val="Doc-text2"/>
        <w:ind w:left="2342"/>
        <w:jc w:val="both"/>
      </w:pPr>
      <w:r>
        <w:tab/>
        <w:t>Intended outcome: Report, paving the way for on-line agreements</w:t>
      </w:r>
    </w:p>
    <w:p w:rsidR="0038500A" w:rsidRDefault="0038500A" w:rsidP="0038500A">
      <w:pPr>
        <w:pStyle w:val="Doc-text2"/>
        <w:ind w:left="2342"/>
        <w:jc w:val="both"/>
      </w:pPr>
      <w:r>
        <w:tab/>
        <w:t>Deadline:  Thursday 2019-08-08</w:t>
      </w:r>
    </w:p>
    <w:p w:rsidR="00857154" w:rsidRDefault="00857154" w:rsidP="00857154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In this contribution we raise an issue related to control of pre-emptive SR/BSR functionality that has not yet been brought</w:t>
      </w:r>
      <w:r w:rsidR="006A48E7">
        <w:rPr>
          <w:rFonts w:ascii="Calibri" w:eastAsia="Malgun Gothic" w:hAnsi="Calibri" w:cs="Batang"/>
          <w:lang w:val="en-GB" w:eastAsia="ko-KR"/>
        </w:rPr>
        <w:t xml:space="preserve"> up</w:t>
      </w:r>
      <w:r>
        <w:rPr>
          <w:rFonts w:ascii="Calibri" w:eastAsia="Malgun Gothic" w:hAnsi="Calibri" w:cs="Batang"/>
          <w:lang w:val="en-GB" w:eastAsia="ko-KR"/>
        </w:rPr>
        <w:t xml:space="preserve"> in either the email discussion or in any contributions submitted to RAN2.</w:t>
      </w:r>
    </w:p>
    <w:p w:rsidR="0038500A" w:rsidRPr="004131D6" w:rsidRDefault="0038500A" w:rsidP="004A7002">
      <w:pPr>
        <w:rPr>
          <w:rFonts w:ascii="Calibri" w:eastAsia="Malgun Gothic" w:hAnsi="Calibri" w:cs="Batang"/>
          <w:lang w:val="en-GB" w:eastAsia="ko-KR"/>
        </w:rPr>
      </w:pPr>
    </w:p>
    <w:p w:rsidR="004A7002" w:rsidRDefault="0087543D" w:rsidP="004A7002">
      <w:pPr>
        <w:pStyle w:val="Heading1"/>
        <w:keepLines/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 xml:space="preserve"> </w:t>
      </w:r>
      <w:r w:rsidR="006A48E7">
        <w:t>Controlling Pre-emptive SR/BSR Functionality</w:t>
      </w:r>
    </w:p>
    <w:p w:rsidR="006A48E7" w:rsidRDefault="006A48E7" w:rsidP="004A700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One of the issues discussed during the email discussion [1] is that of wastage of resources. When an IAB node sends a pre-emptive SR/BSR in response to receiving in an SR/BSR from its child node, it is possible that the parent node that receives the pre-emptive SR/BSR provides a grant before the IAB node has actually received data from it child node. This may lead to the allocated resources not being leading to wastage. </w:t>
      </w:r>
    </w:p>
    <w:p w:rsidR="006A48E7" w:rsidRDefault="006A48E7" w:rsidP="004A700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A majority of companies in the email discussion [1] felt that RAN2 should not specify any normative solution regarding possible wastage of resources due to pre-emptive SR/BSR feature. This was one of the proposals from the Rapporteur at the conclusion of the discussion. </w:t>
      </w:r>
    </w:p>
    <w:p w:rsidR="006A48E7" w:rsidRDefault="006A48E7" w:rsidP="004A700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However, if an IAB node </w:t>
      </w:r>
      <w:r w:rsidR="00503D06">
        <w:rPr>
          <w:rFonts w:ascii="Calibri" w:eastAsia="Malgun Gothic" w:hAnsi="Calibri" w:cs="Batang"/>
          <w:lang w:val="en-GB" w:eastAsia="ko-KR"/>
        </w:rPr>
        <w:t>does a poor job with implementing pre-emptive SR/BSR feature, it could lead to significant wastage of resources. Alternatively, there could be specific network/loading conditions under which a normally well-functioning pre-emptive SR/BSR feature may not provide adequate performance, which could also lead to wastage of resources. In such situations, the network has no way to selectively turn off the pre-emptive SR/BSR feature.</w:t>
      </w:r>
    </w:p>
    <w:p w:rsidR="00503D06" w:rsidRDefault="00503D06" w:rsidP="004A700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Additional s</w:t>
      </w:r>
      <w:r w:rsidRPr="00503D06">
        <w:rPr>
          <w:rFonts w:ascii="Calibri" w:eastAsia="Malgun Gothic" w:hAnsi="Calibri" w:cs="Batang"/>
          <w:lang w:val="en-GB" w:eastAsia="ko-KR"/>
        </w:rPr>
        <w:t>ituations where it m</w:t>
      </w:r>
      <w:r>
        <w:rPr>
          <w:rFonts w:ascii="Calibri" w:eastAsia="Malgun Gothic" w:hAnsi="Calibri" w:cs="Batang"/>
          <w:lang w:val="en-GB" w:eastAsia="ko-KR"/>
        </w:rPr>
        <w:t>ay be necessary to turn off the pre-emptive SR/BSR</w:t>
      </w:r>
      <w:r w:rsidRPr="00503D06">
        <w:rPr>
          <w:rFonts w:ascii="Calibri" w:eastAsia="Malgun Gothic" w:hAnsi="Calibri" w:cs="Batang"/>
          <w:lang w:val="en-GB" w:eastAsia="ko-KR"/>
        </w:rPr>
        <w:t xml:space="preserve"> feature could be, for exampl</w:t>
      </w:r>
      <w:r>
        <w:rPr>
          <w:rFonts w:ascii="Calibri" w:eastAsia="Malgun Gothic" w:hAnsi="Calibri" w:cs="Batang"/>
          <w:lang w:val="en-GB" w:eastAsia="ko-KR"/>
        </w:rPr>
        <w:t>e, in order to assess its performance benefit in tests with and without the feature active</w:t>
      </w:r>
      <w:r w:rsidRPr="00503D06">
        <w:rPr>
          <w:rFonts w:ascii="Calibri" w:eastAsia="Malgun Gothic" w:hAnsi="Calibri" w:cs="Batang"/>
          <w:lang w:val="en-GB" w:eastAsia="ko-KR"/>
        </w:rPr>
        <w:t xml:space="preserve">. Another reason could be to turn it off in order to troubleshoot some </w:t>
      </w:r>
      <w:r>
        <w:rPr>
          <w:rFonts w:ascii="Calibri" w:eastAsia="Malgun Gothic" w:hAnsi="Calibri" w:cs="Batang"/>
          <w:lang w:val="en-GB" w:eastAsia="ko-KR"/>
        </w:rPr>
        <w:t xml:space="preserve">other </w:t>
      </w:r>
      <w:r w:rsidRPr="00503D06">
        <w:rPr>
          <w:rFonts w:ascii="Calibri" w:eastAsia="Malgun Gothic" w:hAnsi="Calibri" w:cs="Batang"/>
          <w:lang w:val="en-GB" w:eastAsia="ko-KR"/>
        </w:rPr>
        <w:t>performance features in the network</w:t>
      </w:r>
      <w:r>
        <w:rPr>
          <w:rFonts w:ascii="Calibri" w:eastAsia="Malgun Gothic" w:hAnsi="Calibri" w:cs="Batang"/>
          <w:lang w:val="en-GB" w:eastAsia="ko-KR"/>
        </w:rPr>
        <w:t>, presumably to provide more predictable behaviour while troubleshooting</w:t>
      </w:r>
      <w:r w:rsidRPr="00503D06">
        <w:rPr>
          <w:rFonts w:ascii="Calibri" w:eastAsia="Malgun Gothic" w:hAnsi="Calibri" w:cs="Batang"/>
          <w:lang w:val="en-GB" w:eastAsia="ko-KR"/>
        </w:rPr>
        <w:t>. Still another reason could be that a gNB-CU could be operating across a pool of IAB nodes that are manufactur</w:t>
      </w:r>
      <w:r>
        <w:rPr>
          <w:rFonts w:ascii="Calibri" w:eastAsia="Malgun Gothic" w:hAnsi="Calibri" w:cs="Batang"/>
          <w:lang w:val="en-GB" w:eastAsia="ko-KR"/>
        </w:rPr>
        <w:t>ed by different vendors, and one vendor’s</w:t>
      </w:r>
      <w:r w:rsidRPr="00503D06">
        <w:rPr>
          <w:rFonts w:ascii="Calibri" w:eastAsia="Malgun Gothic" w:hAnsi="Calibri" w:cs="Batang"/>
          <w:lang w:val="en-GB" w:eastAsia="ko-KR"/>
        </w:rPr>
        <w:t xml:space="preserve"> implementation of this feature may n</w:t>
      </w:r>
      <w:r>
        <w:rPr>
          <w:rFonts w:ascii="Calibri" w:eastAsia="Malgun Gothic" w:hAnsi="Calibri" w:cs="Batang"/>
          <w:lang w:val="en-GB" w:eastAsia="ko-KR"/>
        </w:rPr>
        <w:t>ot be consistent with another vendor’s implementation</w:t>
      </w:r>
      <w:r w:rsidRPr="00503D06">
        <w:rPr>
          <w:rFonts w:ascii="Calibri" w:eastAsia="Malgun Gothic" w:hAnsi="Calibri" w:cs="Batang"/>
          <w:lang w:val="en-GB" w:eastAsia="ko-KR"/>
        </w:rPr>
        <w:t xml:space="preserve"> causing some performance issues in one part of the network versus another.</w:t>
      </w:r>
    </w:p>
    <w:p w:rsidR="00BD71BE" w:rsidRDefault="009B5C39" w:rsidP="004A7002">
      <w:pPr>
        <w:rPr>
          <w:rFonts w:ascii="Calibri" w:eastAsia="Malgun Gothic" w:hAnsi="Calibri" w:cs="Batang"/>
          <w:b/>
          <w:lang w:val="en-GB" w:eastAsia="ko-KR"/>
        </w:rPr>
      </w:pPr>
      <w:r>
        <w:rPr>
          <w:rFonts w:ascii="Calibri" w:eastAsia="Malgun Gothic" w:hAnsi="Calibri" w:cs="Batang"/>
          <w:b/>
          <w:lang w:val="en-GB" w:eastAsia="ko-KR"/>
        </w:rPr>
        <w:t>Observation 1: T</w:t>
      </w:r>
      <w:r w:rsidR="00BD71BE" w:rsidRPr="00BD71BE">
        <w:rPr>
          <w:rFonts w:ascii="Calibri" w:eastAsia="Malgun Gothic" w:hAnsi="Calibri" w:cs="Batang"/>
          <w:b/>
          <w:lang w:val="en-GB" w:eastAsia="ko-KR"/>
        </w:rPr>
        <w:t>he network may wish to control the pre-emptiv</w:t>
      </w:r>
      <w:r>
        <w:rPr>
          <w:rFonts w:ascii="Calibri" w:eastAsia="Malgun Gothic" w:hAnsi="Calibri" w:cs="Batang"/>
          <w:b/>
          <w:lang w:val="en-GB" w:eastAsia="ko-KR"/>
        </w:rPr>
        <w:t xml:space="preserve">e SR/BSR feature at an IAB node due to one of several reasons, including preventing wastage of resources, feature testing, troubleshooting, etc. </w:t>
      </w:r>
    </w:p>
    <w:p w:rsidR="006C6EA2" w:rsidRPr="00BD71BE" w:rsidRDefault="00840A12" w:rsidP="004A7002">
      <w:pPr>
        <w:rPr>
          <w:rFonts w:ascii="Calibri" w:eastAsia="Malgun Gothic" w:hAnsi="Calibri" w:cs="Batang"/>
          <w:b/>
          <w:lang w:val="en-GB" w:eastAsia="ko-KR"/>
        </w:rPr>
      </w:pPr>
      <w:r w:rsidRPr="00840A12">
        <w:rPr>
          <w:rFonts w:ascii="Calibri" w:eastAsia="Malgun Gothic" w:hAnsi="Calibri" w:cs="Batang"/>
          <w:b/>
          <w:lang w:val="en-GB" w:eastAsia="ko-KR"/>
        </w:rPr>
        <w:lastRenderedPageBreak/>
        <w:t>Proposal 1: The network should have the ability to selectively control the use of the pre-emptive SR/BSR feature at an IAB node.</w:t>
      </w:r>
    </w:p>
    <w:p w:rsidR="004E777C" w:rsidRDefault="004E777C" w:rsidP="004A700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A relatively straightforward way for the network to control the pre-emptive SR/BSR feature is based on control signa</w:t>
      </w:r>
      <w:r w:rsidR="006C6EA2">
        <w:rPr>
          <w:rFonts w:ascii="Calibri" w:eastAsia="Malgun Gothic" w:hAnsi="Calibri" w:cs="Batang"/>
          <w:lang w:val="en-GB" w:eastAsia="ko-KR"/>
        </w:rPr>
        <w:t>l</w:t>
      </w:r>
      <w:r>
        <w:rPr>
          <w:rFonts w:ascii="Calibri" w:eastAsia="Malgun Gothic" w:hAnsi="Calibri" w:cs="Batang"/>
          <w:lang w:val="en-GB" w:eastAsia="ko-KR"/>
        </w:rPr>
        <w:t xml:space="preserve">ling from the donor CU-CP. </w:t>
      </w:r>
    </w:p>
    <w:p w:rsidR="006C6EA2" w:rsidRDefault="006C6EA2" w:rsidP="004E777C">
      <w:pPr>
        <w:jc w:val="center"/>
        <w:rPr>
          <w:rFonts w:ascii="Calibri" w:eastAsia="Malgun Gothic" w:hAnsi="Calibri" w:cs="Batang"/>
          <w:lang w:val="en-GB" w:eastAsia="ko-KR"/>
        </w:rPr>
      </w:pPr>
      <w:r>
        <w:rPr>
          <w:noProof/>
        </w:rPr>
        <w:drawing>
          <wp:inline distT="0" distB="0" distL="0" distR="0" wp14:anchorId="7B3B5C3D" wp14:editId="075517F0">
            <wp:extent cx="2235200" cy="1287966"/>
            <wp:effectExtent l="0" t="0" r="0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43563" cy="129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EA2" w:rsidRDefault="006C6EA2" w:rsidP="004E777C">
      <w:pPr>
        <w:jc w:val="center"/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Figure 1: Controlling pre-emptive SR/BSR feature from donor CU-CP</w:t>
      </w:r>
    </w:p>
    <w:p w:rsidR="006C6EA2" w:rsidRDefault="006C6EA2" w:rsidP="004A700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It is up to RAN2 to determine the exact nature of such signalling. However, one can imagine that it could be done via non-UE-associated F1AP signaling to the DU of the IAB node, or via RRC signaling to the MT of the IAB node. Details of such signalling is FFS. </w:t>
      </w:r>
    </w:p>
    <w:p w:rsidR="006C6EA2" w:rsidRPr="006C6EA2" w:rsidRDefault="006C6EA2" w:rsidP="004A7002">
      <w:pPr>
        <w:rPr>
          <w:rFonts w:ascii="Calibri" w:eastAsia="Malgun Gothic" w:hAnsi="Calibri" w:cs="Batang"/>
          <w:b/>
          <w:lang w:val="en-GB" w:eastAsia="ko-KR"/>
        </w:rPr>
      </w:pPr>
      <w:r w:rsidRPr="006C6EA2">
        <w:rPr>
          <w:rFonts w:ascii="Calibri" w:eastAsia="Malgun Gothic" w:hAnsi="Calibri" w:cs="Batang"/>
          <w:b/>
          <w:lang w:val="en-GB" w:eastAsia="ko-KR"/>
        </w:rPr>
        <w:t xml:space="preserve">Proposal 2: RAN2 should discuss </w:t>
      </w:r>
      <w:r>
        <w:rPr>
          <w:rFonts w:ascii="Calibri" w:eastAsia="Malgun Gothic" w:hAnsi="Calibri" w:cs="Batang"/>
          <w:b/>
          <w:lang w:val="en-GB" w:eastAsia="ko-KR"/>
        </w:rPr>
        <w:t xml:space="preserve">the </w:t>
      </w:r>
      <w:r w:rsidRPr="006C6EA2">
        <w:rPr>
          <w:rFonts w:ascii="Calibri" w:eastAsia="Malgun Gothic" w:hAnsi="Calibri" w:cs="Batang"/>
          <w:b/>
          <w:lang w:val="en-GB" w:eastAsia="ko-KR"/>
        </w:rPr>
        <w:t xml:space="preserve">appropriate nature and details of signalling required to control the pre-emptive SR/BSR feature at IAB nodes, including F1AP signalling or RRC signalling from the CU-CP.  </w:t>
      </w:r>
    </w:p>
    <w:p w:rsidR="00431089" w:rsidRPr="00431089" w:rsidRDefault="00431089" w:rsidP="00431089">
      <w:pPr>
        <w:rPr>
          <w:rFonts w:ascii="Calibri" w:eastAsia="Malgun Gothic" w:hAnsi="Calibri" w:cs="Batang"/>
          <w:b/>
          <w:lang w:val="en-GB" w:eastAsia="ko-KR"/>
        </w:rPr>
      </w:pPr>
    </w:p>
    <w:p w:rsidR="004A7002" w:rsidRDefault="004A7002" w:rsidP="004A7002">
      <w:pPr>
        <w:pStyle w:val="Heading1"/>
        <w:keepLines/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>Conclusion</w:t>
      </w:r>
    </w:p>
    <w:p w:rsidR="004A7002" w:rsidRPr="001B2250" w:rsidRDefault="00F82906" w:rsidP="004A7002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In this contribution we </w:t>
      </w:r>
      <w:r w:rsidR="006C6EA2">
        <w:rPr>
          <w:rFonts w:ascii="Calibri" w:hAnsi="Calibri"/>
        </w:rPr>
        <w:t>discuss the issue of selectively controlling the pre-emptive SR/BSR feature at IAB nodes by the CU-CP. The following observation and proposals were offered for consideration:</w:t>
      </w:r>
      <w:r w:rsidR="004A7002">
        <w:rPr>
          <w:rFonts w:ascii="Calibri" w:hAnsi="Calibri"/>
        </w:rPr>
        <w:t xml:space="preserve"> </w:t>
      </w:r>
    </w:p>
    <w:p w:rsidR="006C6EA2" w:rsidRDefault="006C6EA2" w:rsidP="006C6EA2">
      <w:pPr>
        <w:rPr>
          <w:rFonts w:ascii="Calibri" w:eastAsia="Malgun Gothic" w:hAnsi="Calibri" w:cs="Batang"/>
          <w:b/>
          <w:lang w:val="en-GB" w:eastAsia="ko-KR"/>
        </w:rPr>
      </w:pPr>
      <w:r>
        <w:rPr>
          <w:rFonts w:ascii="Calibri" w:eastAsia="Malgun Gothic" w:hAnsi="Calibri" w:cs="Batang"/>
          <w:b/>
          <w:lang w:val="en-GB" w:eastAsia="ko-KR"/>
        </w:rPr>
        <w:t>Observation 1: T</w:t>
      </w:r>
      <w:r w:rsidRPr="00BD71BE">
        <w:rPr>
          <w:rFonts w:ascii="Calibri" w:eastAsia="Malgun Gothic" w:hAnsi="Calibri" w:cs="Batang"/>
          <w:b/>
          <w:lang w:val="en-GB" w:eastAsia="ko-KR"/>
        </w:rPr>
        <w:t>he network may wish to control the pre-emptiv</w:t>
      </w:r>
      <w:r>
        <w:rPr>
          <w:rFonts w:ascii="Calibri" w:eastAsia="Malgun Gothic" w:hAnsi="Calibri" w:cs="Batang"/>
          <w:b/>
          <w:lang w:val="en-GB" w:eastAsia="ko-KR"/>
        </w:rPr>
        <w:t xml:space="preserve">e SR/BSR feature at an IAB node due to one of several reasons, including preventing wastage of resources, feature testing, troubleshooting, etc. </w:t>
      </w:r>
    </w:p>
    <w:p w:rsidR="00840A12" w:rsidRPr="00BD71BE" w:rsidRDefault="00840A12" w:rsidP="00840A12">
      <w:pPr>
        <w:rPr>
          <w:rFonts w:ascii="Calibri" w:eastAsia="Malgun Gothic" w:hAnsi="Calibri" w:cs="Batang"/>
          <w:b/>
          <w:lang w:val="en-GB" w:eastAsia="ko-KR"/>
        </w:rPr>
      </w:pPr>
      <w:r w:rsidRPr="00840A12">
        <w:rPr>
          <w:rFonts w:ascii="Calibri" w:eastAsia="Malgun Gothic" w:hAnsi="Calibri" w:cs="Batang"/>
          <w:b/>
          <w:lang w:val="en-GB" w:eastAsia="ko-KR"/>
        </w:rPr>
        <w:t>Proposal 1: The network should have the ability to selectively control the use of the pre-emptive SR/BSR feature at an IAB node.</w:t>
      </w:r>
    </w:p>
    <w:p w:rsidR="006C6EA2" w:rsidRPr="006C6EA2" w:rsidRDefault="006C6EA2" w:rsidP="006C6EA2">
      <w:pPr>
        <w:rPr>
          <w:rFonts w:ascii="Calibri" w:eastAsia="Malgun Gothic" w:hAnsi="Calibri" w:cs="Batang"/>
          <w:b/>
          <w:lang w:val="en-GB" w:eastAsia="ko-KR"/>
        </w:rPr>
      </w:pPr>
      <w:r w:rsidRPr="006C6EA2">
        <w:rPr>
          <w:rFonts w:ascii="Calibri" w:eastAsia="Malgun Gothic" w:hAnsi="Calibri" w:cs="Batang"/>
          <w:b/>
          <w:lang w:val="en-GB" w:eastAsia="ko-KR"/>
        </w:rPr>
        <w:t xml:space="preserve">Proposal 2: RAN2 should discuss </w:t>
      </w:r>
      <w:r>
        <w:rPr>
          <w:rFonts w:ascii="Calibri" w:eastAsia="Malgun Gothic" w:hAnsi="Calibri" w:cs="Batang"/>
          <w:b/>
          <w:lang w:val="en-GB" w:eastAsia="ko-KR"/>
        </w:rPr>
        <w:t xml:space="preserve">the </w:t>
      </w:r>
      <w:r w:rsidRPr="006C6EA2">
        <w:rPr>
          <w:rFonts w:ascii="Calibri" w:eastAsia="Malgun Gothic" w:hAnsi="Calibri" w:cs="Batang"/>
          <w:b/>
          <w:lang w:val="en-GB" w:eastAsia="ko-KR"/>
        </w:rPr>
        <w:t xml:space="preserve">appropriate nature and details of signalling required to control the pre-emptive SR/BSR feature at IAB nodes, including F1AP signalling or RRC signalling from the CU-CP.  </w:t>
      </w:r>
    </w:p>
    <w:p w:rsidR="00C408C7" w:rsidRDefault="00C408C7" w:rsidP="00C408C7">
      <w:pPr>
        <w:rPr>
          <w:rFonts w:ascii="Calibri" w:eastAsia="Malgun Gothic" w:hAnsi="Calibri" w:cs="Batang"/>
          <w:b/>
          <w:lang w:val="en-GB" w:eastAsia="ko-KR"/>
        </w:rPr>
      </w:pPr>
    </w:p>
    <w:p w:rsidR="00477F9F" w:rsidRPr="004131D6" w:rsidRDefault="00477F9F" w:rsidP="00C408C7">
      <w:pPr>
        <w:rPr>
          <w:rFonts w:ascii="Calibri" w:eastAsia="Malgun Gothic" w:hAnsi="Calibri" w:cs="Batang"/>
          <w:b/>
          <w:lang w:val="en-GB" w:eastAsia="ko-KR"/>
        </w:rPr>
      </w:pPr>
    </w:p>
    <w:p w:rsidR="004A7002" w:rsidRPr="006B13A0" w:rsidRDefault="004A7002" w:rsidP="004A7002">
      <w:pPr>
        <w:pStyle w:val="Heading1"/>
        <w:keepLines/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>Reference</w:t>
      </w:r>
    </w:p>
    <w:p w:rsidR="005A0577" w:rsidRPr="00E66F52" w:rsidRDefault="00F430FC" w:rsidP="005A0577">
      <w:pPr>
        <w:pStyle w:val="2222"/>
        <w:numPr>
          <w:ilvl w:val="0"/>
          <w:numId w:val="5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R2-19xxxxx, Report on email discussion [106#46][IAB]: Low-latency scheduling, Samsung.</w:t>
      </w:r>
    </w:p>
    <w:sectPr w:rsidR="005A0577" w:rsidRPr="00E66F52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291" w:rsidRDefault="00FA2291" w:rsidP="00424124">
      <w:pPr>
        <w:spacing w:before="0" w:after="0"/>
      </w:pPr>
      <w:r>
        <w:separator/>
      </w:r>
    </w:p>
  </w:endnote>
  <w:endnote w:type="continuationSeparator" w:id="0">
    <w:p w:rsidR="00FA2291" w:rsidRDefault="00FA2291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291" w:rsidRDefault="00FA2291" w:rsidP="00424124">
      <w:pPr>
        <w:spacing w:before="0" w:after="0"/>
      </w:pPr>
      <w:r>
        <w:separator/>
      </w:r>
    </w:p>
  </w:footnote>
  <w:footnote w:type="continuationSeparator" w:id="0">
    <w:p w:rsidR="00FA2291" w:rsidRDefault="00FA2291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23A96"/>
    <w:multiLevelType w:val="hybridMultilevel"/>
    <w:tmpl w:val="81307AE6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3" w15:restartNumberingAfterBreak="0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C5DF1"/>
    <w:multiLevelType w:val="hybridMultilevel"/>
    <w:tmpl w:val="6DB884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554FFD"/>
    <w:multiLevelType w:val="hybridMultilevel"/>
    <w:tmpl w:val="DFAC5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03957"/>
    <w:multiLevelType w:val="hybridMultilevel"/>
    <w:tmpl w:val="12081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406853"/>
    <w:multiLevelType w:val="hybridMultilevel"/>
    <w:tmpl w:val="2710E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61430757"/>
    <w:multiLevelType w:val="hybridMultilevel"/>
    <w:tmpl w:val="2AA8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F85588"/>
    <w:multiLevelType w:val="hybridMultilevel"/>
    <w:tmpl w:val="225CA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A16EC5"/>
    <w:multiLevelType w:val="hybridMultilevel"/>
    <w:tmpl w:val="AD2C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2"/>
        </w:tabs>
        <w:ind w:left="2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abstractNum w:abstractNumId="20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02259"/>
    <w:multiLevelType w:val="hybridMultilevel"/>
    <w:tmpl w:val="C8726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A02EB7"/>
    <w:multiLevelType w:val="hybridMultilevel"/>
    <w:tmpl w:val="DC960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A440A"/>
    <w:multiLevelType w:val="hybridMultilevel"/>
    <w:tmpl w:val="0BBEE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5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6"/>
  </w:num>
  <w:num w:numId="8">
    <w:abstractNumId w:val="13"/>
  </w:num>
  <w:num w:numId="9">
    <w:abstractNumId w:val="2"/>
  </w:num>
  <w:num w:numId="10">
    <w:abstractNumId w:val="3"/>
  </w:num>
  <w:num w:numId="11">
    <w:abstractNumId w:val="16"/>
  </w:num>
  <w:num w:numId="12">
    <w:abstractNumId w:val="9"/>
  </w:num>
  <w:num w:numId="13">
    <w:abstractNumId w:val="10"/>
  </w:num>
  <w:num w:numId="14">
    <w:abstractNumId w:val="23"/>
  </w:num>
  <w:num w:numId="15">
    <w:abstractNumId w:val="1"/>
  </w:num>
  <w:num w:numId="16">
    <w:abstractNumId w:val="20"/>
  </w:num>
  <w:num w:numId="17">
    <w:abstractNumId w:val="14"/>
  </w:num>
  <w:num w:numId="18">
    <w:abstractNumId w:val="11"/>
  </w:num>
  <w:num w:numId="19">
    <w:abstractNumId w:val="5"/>
  </w:num>
  <w:num w:numId="20">
    <w:abstractNumId w:val="21"/>
  </w:num>
  <w:num w:numId="21">
    <w:abstractNumId w:val="19"/>
  </w:num>
  <w:num w:numId="22">
    <w:abstractNumId w:val="22"/>
  </w:num>
  <w:num w:numId="23">
    <w:abstractNumId w:val="7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1127"/>
    <w:rsid w:val="00001BBA"/>
    <w:rsid w:val="00001BF8"/>
    <w:rsid w:val="00004522"/>
    <w:rsid w:val="000052FF"/>
    <w:rsid w:val="00005D82"/>
    <w:rsid w:val="0001485D"/>
    <w:rsid w:val="000149EC"/>
    <w:rsid w:val="00020F1A"/>
    <w:rsid w:val="00032D47"/>
    <w:rsid w:val="000337FC"/>
    <w:rsid w:val="00042177"/>
    <w:rsid w:val="000440EF"/>
    <w:rsid w:val="00044947"/>
    <w:rsid w:val="000463E4"/>
    <w:rsid w:val="00051B4B"/>
    <w:rsid w:val="00051EBB"/>
    <w:rsid w:val="0005289E"/>
    <w:rsid w:val="0005353F"/>
    <w:rsid w:val="000550BC"/>
    <w:rsid w:val="00057E9B"/>
    <w:rsid w:val="000643FA"/>
    <w:rsid w:val="00070728"/>
    <w:rsid w:val="000730C9"/>
    <w:rsid w:val="00074609"/>
    <w:rsid w:val="0007575F"/>
    <w:rsid w:val="00075B2C"/>
    <w:rsid w:val="00075FD1"/>
    <w:rsid w:val="00077712"/>
    <w:rsid w:val="00085800"/>
    <w:rsid w:val="000865E3"/>
    <w:rsid w:val="0009041F"/>
    <w:rsid w:val="000917C5"/>
    <w:rsid w:val="00094DA3"/>
    <w:rsid w:val="00097DC6"/>
    <w:rsid w:val="000A36A9"/>
    <w:rsid w:val="000B0720"/>
    <w:rsid w:val="000B58AF"/>
    <w:rsid w:val="000B6D99"/>
    <w:rsid w:val="000C05C0"/>
    <w:rsid w:val="000C21D0"/>
    <w:rsid w:val="000C57B9"/>
    <w:rsid w:val="000D176F"/>
    <w:rsid w:val="000D38DC"/>
    <w:rsid w:val="000E2283"/>
    <w:rsid w:val="000E29D8"/>
    <w:rsid w:val="000E7524"/>
    <w:rsid w:val="000F259D"/>
    <w:rsid w:val="000F6CCA"/>
    <w:rsid w:val="0010303E"/>
    <w:rsid w:val="00112685"/>
    <w:rsid w:val="0011327D"/>
    <w:rsid w:val="00114145"/>
    <w:rsid w:val="0011588C"/>
    <w:rsid w:val="00116DA6"/>
    <w:rsid w:val="001279BC"/>
    <w:rsid w:val="00134C07"/>
    <w:rsid w:val="001356D6"/>
    <w:rsid w:val="00137E15"/>
    <w:rsid w:val="001417A8"/>
    <w:rsid w:val="00153793"/>
    <w:rsid w:val="00162B42"/>
    <w:rsid w:val="00164A98"/>
    <w:rsid w:val="00172743"/>
    <w:rsid w:val="00175301"/>
    <w:rsid w:val="00184E81"/>
    <w:rsid w:val="001901AC"/>
    <w:rsid w:val="00196027"/>
    <w:rsid w:val="001A5A68"/>
    <w:rsid w:val="001A6212"/>
    <w:rsid w:val="001A75E0"/>
    <w:rsid w:val="001B2705"/>
    <w:rsid w:val="001B7305"/>
    <w:rsid w:val="001B731B"/>
    <w:rsid w:val="001C4ACE"/>
    <w:rsid w:val="001C699C"/>
    <w:rsid w:val="001E02F3"/>
    <w:rsid w:val="001E0CE1"/>
    <w:rsid w:val="001E404E"/>
    <w:rsid w:val="001E5602"/>
    <w:rsid w:val="001E58CC"/>
    <w:rsid w:val="001F02DD"/>
    <w:rsid w:val="001F2A01"/>
    <w:rsid w:val="001F59ED"/>
    <w:rsid w:val="001F64B1"/>
    <w:rsid w:val="002013B3"/>
    <w:rsid w:val="00201870"/>
    <w:rsid w:val="002042FF"/>
    <w:rsid w:val="00207678"/>
    <w:rsid w:val="00211D37"/>
    <w:rsid w:val="00212204"/>
    <w:rsid w:val="0021262A"/>
    <w:rsid w:val="00216763"/>
    <w:rsid w:val="00222269"/>
    <w:rsid w:val="00222811"/>
    <w:rsid w:val="00222D3A"/>
    <w:rsid w:val="00225464"/>
    <w:rsid w:val="00233D70"/>
    <w:rsid w:val="00235373"/>
    <w:rsid w:val="00240145"/>
    <w:rsid w:val="00240506"/>
    <w:rsid w:val="00242080"/>
    <w:rsid w:val="00246D61"/>
    <w:rsid w:val="0024786A"/>
    <w:rsid w:val="0025058B"/>
    <w:rsid w:val="00255E63"/>
    <w:rsid w:val="00262116"/>
    <w:rsid w:val="002641FE"/>
    <w:rsid w:val="00265254"/>
    <w:rsid w:val="00267362"/>
    <w:rsid w:val="002725E8"/>
    <w:rsid w:val="00272EC2"/>
    <w:rsid w:val="00273B2A"/>
    <w:rsid w:val="0027434B"/>
    <w:rsid w:val="00274677"/>
    <w:rsid w:val="00276785"/>
    <w:rsid w:val="00277973"/>
    <w:rsid w:val="00287D4D"/>
    <w:rsid w:val="0029112F"/>
    <w:rsid w:val="0029147A"/>
    <w:rsid w:val="00297225"/>
    <w:rsid w:val="002A005E"/>
    <w:rsid w:val="002A0270"/>
    <w:rsid w:val="002A66E2"/>
    <w:rsid w:val="002B6E52"/>
    <w:rsid w:val="002C0488"/>
    <w:rsid w:val="002C4097"/>
    <w:rsid w:val="002C594E"/>
    <w:rsid w:val="002D3D42"/>
    <w:rsid w:val="002D479B"/>
    <w:rsid w:val="002D6EC9"/>
    <w:rsid w:val="002D787B"/>
    <w:rsid w:val="002E188B"/>
    <w:rsid w:val="002E65B5"/>
    <w:rsid w:val="002F1C6C"/>
    <w:rsid w:val="002F2F26"/>
    <w:rsid w:val="002F4C25"/>
    <w:rsid w:val="00300129"/>
    <w:rsid w:val="003141F5"/>
    <w:rsid w:val="00315DC4"/>
    <w:rsid w:val="00317020"/>
    <w:rsid w:val="00320B4D"/>
    <w:rsid w:val="00326FF6"/>
    <w:rsid w:val="00327A22"/>
    <w:rsid w:val="00332BB8"/>
    <w:rsid w:val="0033513A"/>
    <w:rsid w:val="00342130"/>
    <w:rsid w:val="00346605"/>
    <w:rsid w:val="00347824"/>
    <w:rsid w:val="0035318F"/>
    <w:rsid w:val="00354C01"/>
    <w:rsid w:val="0036306A"/>
    <w:rsid w:val="00365A78"/>
    <w:rsid w:val="00372594"/>
    <w:rsid w:val="003727DB"/>
    <w:rsid w:val="0038500A"/>
    <w:rsid w:val="00385177"/>
    <w:rsid w:val="00386642"/>
    <w:rsid w:val="00392176"/>
    <w:rsid w:val="003921D6"/>
    <w:rsid w:val="00397058"/>
    <w:rsid w:val="003A0594"/>
    <w:rsid w:val="003A298A"/>
    <w:rsid w:val="003A3F9A"/>
    <w:rsid w:val="003A553B"/>
    <w:rsid w:val="003A566A"/>
    <w:rsid w:val="003B1EC9"/>
    <w:rsid w:val="003B5456"/>
    <w:rsid w:val="003C2392"/>
    <w:rsid w:val="003C2E75"/>
    <w:rsid w:val="003C3250"/>
    <w:rsid w:val="003E02B9"/>
    <w:rsid w:val="003E1304"/>
    <w:rsid w:val="003E35D4"/>
    <w:rsid w:val="003E7121"/>
    <w:rsid w:val="003F0731"/>
    <w:rsid w:val="003F33B4"/>
    <w:rsid w:val="004011AC"/>
    <w:rsid w:val="00402399"/>
    <w:rsid w:val="004043B6"/>
    <w:rsid w:val="00405F6D"/>
    <w:rsid w:val="004131D6"/>
    <w:rsid w:val="00424124"/>
    <w:rsid w:val="00431089"/>
    <w:rsid w:val="00434212"/>
    <w:rsid w:val="00440F6E"/>
    <w:rsid w:val="00443645"/>
    <w:rsid w:val="00443CD6"/>
    <w:rsid w:val="004552C9"/>
    <w:rsid w:val="004607AC"/>
    <w:rsid w:val="0046127E"/>
    <w:rsid w:val="00464389"/>
    <w:rsid w:val="00466E46"/>
    <w:rsid w:val="004678E1"/>
    <w:rsid w:val="00467C50"/>
    <w:rsid w:val="004709B7"/>
    <w:rsid w:val="00473281"/>
    <w:rsid w:val="00473B68"/>
    <w:rsid w:val="00477F9F"/>
    <w:rsid w:val="0048301B"/>
    <w:rsid w:val="00494D73"/>
    <w:rsid w:val="004A5ABE"/>
    <w:rsid w:val="004A6424"/>
    <w:rsid w:val="004A69D0"/>
    <w:rsid w:val="004A6A82"/>
    <w:rsid w:val="004A7002"/>
    <w:rsid w:val="004A720A"/>
    <w:rsid w:val="004B6AA8"/>
    <w:rsid w:val="004B6E00"/>
    <w:rsid w:val="004C130E"/>
    <w:rsid w:val="004C186B"/>
    <w:rsid w:val="004C38DD"/>
    <w:rsid w:val="004C3F2E"/>
    <w:rsid w:val="004C4856"/>
    <w:rsid w:val="004C6DC3"/>
    <w:rsid w:val="004C6ED8"/>
    <w:rsid w:val="004C7784"/>
    <w:rsid w:val="004D453B"/>
    <w:rsid w:val="004D780D"/>
    <w:rsid w:val="004D7CF8"/>
    <w:rsid w:val="004E16A5"/>
    <w:rsid w:val="004E6BC0"/>
    <w:rsid w:val="004E6D3B"/>
    <w:rsid w:val="004E748E"/>
    <w:rsid w:val="004E777C"/>
    <w:rsid w:val="005007E9"/>
    <w:rsid w:val="00501BE0"/>
    <w:rsid w:val="00503D06"/>
    <w:rsid w:val="00504C05"/>
    <w:rsid w:val="00504E5F"/>
    <w:rsid w:val="005055A6"/>
    <w:rsid w:val="00507060"/>
    <w:rsid w:val="0051179B"/>
    <w:rsid w:val="00512838"/>
    <w:rsid w:val="005131F9"/>
    <w:rsid w:val="0051424F"/>
    <w:rsid w:val="00523623"/>
    <w:rsid w:val="005249A6"/>
    <w:rsid w:val="005264EA"/>
    <w:rsid w:val="005300F0"/>
    <w:rsid w:val="005363F5"/>
    <w:rsid w:val="00541819"/>
    <w:rsid w:val="0054560C"/>
    <w:rsid w:val="00545FD3"/>
    <w:rsid w:val="0055464C"/>
    <w:rsid w:val="0056238B"/>
    <w:rsid w:val="00562645"/>
    <w:rsid w:val="00565BDB"/>
    <w:rsid w:val="005666A4"/>
    <w:rsid w:val="0057145F"/>
    <w:rsid w:val="005749E1"/>
    <w:rsid w:val="00575859"/>
    <w:rsid w:val="005758E7"/>
    <w:rsid w:val="005778C8"/>
    <w:rsid w:val="0058120D"/>
    <w:rsid w:val="0058506A"/>
    <w:rsid w:val="00591190"/>
    <w:rsid w:val="00591208"/>
    <w:rsid w:val="005A0577"/>
    <w:rsid w:val="005A18B4"/>
    <w:rsid w:val="005A60B4"/>
    <w:rsid w:val="005B47BD"/>
    <w:rsid w:val="005B69C2"/>
    <w:rsid w:val="005B6FA6"/>
    <w:rsid w:val="005C55D3"/>
    <w:rsid w:val="005D2C51"/>
    <w:rsid w:val="005D4F9E"/>
    <w:rsid w:val="005E5DCB"/>
    <w:rsid w:val="005F21BF"/>
    <w:rsid w:val="005F613D"/>
    <w:rsid w:val="005F705D"/>
    <w:rsid w:val="00600F57"/>
    <w:rsid w:val="00603015"/>
    <w:rsid w:val="00604F3E"/>
    <w:rsid w:val="0060603E"/>
    <w:rsid w:val="00613926"/>
    <w:rsid w:val="00621955"/>
    <w:rsid w:val="00632789"/>
    <w:rsid w:val="00633934"/>
    <w:rsid w:val="00634707"/>
    <w:rsid w:val="00636F9E"/>
    <w:rsid w:val="006439F2"/>
    <w:rsid w:val="00644034"/>
    <w:rsid w:val="006477B7"/>
    <w:rsid w:val="00652AC8"/>
    <w:rsid w:val="0065437E"/>
    <w:rsid w:val="0066013A"/>
    <w:rsid w:val="0066157D"/>
    <w:rsid w:val="00665936"/>
    <w:rsid w:val="006703A8"/>
    <w:rsid w:val="0067125A"/>
    <w:rsid w:val="00671898"/>
    <w:rsid w:val="00671E30"/>
    <w:rsid w:val="006756FB"/>
    <w:rsid w:val="00677BD0"/>
    <w:rsid w:val="00685B82"/>
    <w:rsid w:val="00685E11"/>
    <w:rsid w:val="0069705B"/>
    <w:rsid w:val="006A0EDC"/>
    <w:rsid w:val="006A18DB"/>
    <w:rsid w:val="006A2D2E"/>
    <w:rsid w:val="006A48E7"/>
    <w:rsid w:val="006B67B9"/>
    <w:rsid w:val="006B6C31"/>
    <w:rsid w:val="006C0BAC"/>
    <w:rsid w:val="006C452E"/>
    <w:rsid w:val="006C6EA2"/>
    <w:rsid w:val="006C7692"/>
    <w:rsid w:val="006D2F17"/>
    <w:rsid w:val="006D6ABC"/>
    <w:rsid w:val="006E790B"/>
    <w:rsid w:val="006F055C"/>
    <w:rsid w:val="006F3E32"/>
    <w:rsid w:val="006F52D9"/>
    <w:rsid w:val="006F73F7"/>
    <w:rsid w:val="00702C40"/>
    <w:rsid w:val="00706685"/>
    <w:rsid w:val="00707438"/>
    <w:rsid w:val="00707D20"/>
    <w:rsid w:val="00710F58"/>
    <w:rsid w:val="00713175"/>
    <w:rsid w:val="00713382"/>
    <w:rsid w:val="00714B77"/>
    <w:rsid w:val="00714CA5"/>
    <w:rsid w:val="00721AD7"/>
    <w:rsid w:val="007225EF"/>
    <w:rsid w:val="00722BA6"/>
    <w:rsid w:val="00723DC5"/>
    <w:rsid w:val="00726B84"/>
    <w:rsid w:val="00727595"/>
    <w:rsid w:val="00727952"/>
    <w:rsid w:val="007316AF"/>
    <w:rsid w:val="007338D6"/>
    <w:rsid w:val="00736776"/>
    <w:rsid w:val="00740B36"/>
    <w:rsid w:val="007416A2"/>
    <w:rsid w:val="00745452"/>
    <w:rsid w:val="00747A6F"/>
    <w:rsid w:val="0075622F"/>
    <w:rsid w:val="0075669D"/>
    <w:rsid w:val="00757EA9"/>
    <w:rsid w:val="0076067D"/>
    <w:rsid w:val="00782CDC"/>
    <w:rsid w:val="007839F9"/>
    <w:rsid w:val="00784079"/>
    <w:rsid w:val="00784132"/>
    <w:rsid w:val="00786229"/>
    <w:rsid w:val="0078708D"/>
    <w:rsid w:val="00787145"/>
    <w:rsid w:val="00791D57"/>
    <w:rsid w:val="007A0744"/>
    <w:rsid w:val="007A2765"/>
    <w:rsid w:val="007B13E5"/>
    <w:rsid w:val="007B2F6B"/>
    <w:rsid w:val="007B473A"/>
    <w:rsid w:val="007C2993"/>
    <w:rsid w:val="007C4B85"/>
    <w:rsid w:val="007D0BB2"/>
    <w:rsid w:val="007D2C48"/>
    <w:rsid w:val="007E26FA"/>
    <w:rsid w:val="007E3546"/>
    <w:rsid w:val="007E52F3"/>
    <w:rsid w:val="007E546F"/>
    <w:rsid w:val="007F0AF3"/>
    <w:rsid w:val="007F1928"/>
    <w:rsid w:val="007F392E"/>
    <w:rsid w:val="00800F70"/>
    <w:rsid w:val="00802F47"/>
    <w:rsid w:val="00811A1B"/>
    <w:rsid w:val="00811FCD"/>
    <w:rsid w:val="00814815"/>
    <w:rsid w:val="00824DED"/>
    <w:rsid w:val="00826E5A"/>
    <w:rsid w:val="0083713D"/>
    <w:rsid w:val="00840540"/>
    <w:rsid w:val="00840A12"/>
    <w:rsid w:val="008437B2"/>
    <w:rsid w:val="00843F1C"/>
    <w:rsid w:val="00850DCE"/>
    <w:rsid w:val="00853591"/>
    <w:rsid w:val="00854FBB"/>
    <w:rsid w:val="00857154"/>
    <w:rsid w:val="0086373E"/>
    <w:rsid w:val="008661BA"/>
    <w:rsid w:val="008671A6"/>
    <w:rsid w:val="00871024"/>
    <w:rsid w:val="0087144B"/>
    <w:rsid w:val="00871CA8"/>
    <w:rsid w:val="00872D80"/>
    <w:rsid w:val="00872E80"/>
    <w:rsid w:val="008747AA"/>
    <w:rsid w:val="0087543D"/>
    <w:rsid w:val="00882DEE"/>
    <w:rsid w:val="00885004"/>
    <w:rsid w:val="00886940"/>
    <w:rsid w:val="00886B7B"/>
    <w:rsid w:val="00887AB4"/>
    <w:rsid w:val="00894290"/>
    <w:rsid w:val="008A25A1"/>
    <w:rsid w:val="008A3ABF"/>
    <w:rsid w:val="008A4A8B"/>
    <w:rsid w:val="008B39B6"/>
    <w:rsid w:val="008C1AFD"/>
    <w:rsid w:val="008C4B67"/>
    <w:rsid w:val="008D1AEF"/>
    <w:rsid w:val="008E48C2"/>
    <w:rsid w:val="008F0D8C"/>
    <w:rsid w:val="008F1BD1"/>
    <w:rsid w:val="008F2160"/>
    <w:rsid w:val="00901B67"/>
    <w:rsid w:val="00905E86"/>
    <w:rsid w:val="009124E4"/>
    <w:rsid w:val="00917D0F"/>
    <w:rsid w:val="00924EA9"/>
    <w:rsid w:val="00925FA2"/>
    <w:rsid w:val="00926A9C"/>
    <w:rsid w:val="00927803"/>
    <w:rsid w:val="00933AFB"/>
    <w:rsid w:val="00940101"/>
    <w:rsid w:val="00940DAB"/>
    <w:rsid w:val="00941829"/>
    <w:rsid w:val="009445D2"/>
    <w:rsid w:val="009453B3"/>
    <w:rsid w:val="00954A35"/>
    <w:rsid w:val="009550DA"/>
    <w:rsid w:val="00957172"/>
    <w:rsid w:val="00957CD1"/>
    <w:rsid w:val="00961DB2"/>
    <w:rsid w:val="0097292F"/>
    <w:rsid w:val="009741D9"/>
    <w:rsid w:val="009750CC"/>
    <w:rsid w:val="00980746"/>
    <w:rsid w:val="00982CA4"/>
    <w:rsid w:val="00984235"/>
    <w:rsid w:val="00992432"/>
    <w:rsid w:val="00993D92"/>
    <w:rsid w:val="00995D90"/>
    <w:rsid w:val="009967BA"/>
    <w:rsid w:val="00997E4E"/>
    <w:rsid w:val="009A4D63"/>
    <w:rsid w:val="009A54FC"/>
    <w:rsid w:val="009B08C5"/>
    <w:rsid w:val="009B52C0"/>
    <w:rsid w:val="009B5C39"/>
    <w:rsid w:val="009B75E8"/>
    <w:rsid w:val="009C2167"/>
    <w:rsid w:val="009C21C2"/>
    <w:rsid w:val="009D46C1"/>
    <w:rsid w:val="009E0D02"/>
    <w:rsid w:val="009E4418"/>
    <w:rsid w:val="009E5838"/>
    <w:rsid w:val="00A0235E"/>
    <w:rsid w:val="00A04526"/>
    <w:rsid w:val="00A11704"/>
    <w:rsid w:val="00A11840"/>
    <w:rsid w:val="00A14282"/>
    <w:rsid w:val="00A21D13"/>
    <w:rsid w:val="00A22671"/>
    <w:rsid w:val="00A22C61"/>
    <w:rsid w:val="00A262E4"/>
    <w:rsid w:val="00A26EC3"/>
    <w:rsid w:val="00A300E0"/>
    <w:rsid w:val="00A3158B"/>
    <w:rsid w:val="00A34F57"/>
    <w:rsid w:val="00A359C7"/>
    <w:rsid w:val="00A41CF3"/>
    <w:rsid w:val="00A44DA4"/>
    <w:rsid w:val="00A456B1"/>
    <w:rsid w:val="00A4674D"/>
    <w:rsid w:val="00A547CE"/>
    <w:rsid w:val="00A55FF3"/>
    <w:rsid w:val="00A603CE"/>
    <w:rsid w:val="00A605F1"/>
    <w:rsid w:val="00A61CB6"/>
    <w:rsid w:val="00A64CF7"/>
    <w:rsid w:val="00A672BA"/>
    <w:rsid w:val="00A72B33"/>
    <w:rsid w:val="00A821EA"/>
    <w:rsid w:val="00A8721E"/>
    <w:rsid w:val="00A92495"/>
    <w:rsid w:val="00AA12B3"/>
    <w:rsid w:val="00AA2AE1"/>
    <w:rsid w:val="00AA5160"/>
    <w:rsid w:val="00AA5899"/>
    <w:rsid w:val="00AB0589"/>
    <w:rsid w:val="00AB75A3"/>
    <w:rsid w:val="00AB7FC6"/>
    <w:rsid w:val="00AC05AE"/>
    <w:rsid w:val="00AD0F30"/>
    <w:rsid w:val="00AD115D"/>
    <w:rsid w:val="00AD16AE"/>
    <w:rsid w:val="00AD6C53"/>
    <w:rsid w:val="00AE72F4"/>
    <w:rsid w:val="00AE7B02"/>
    <w:rsid w:val="00AE7CA4"/>
    <w:rsid w:val="00AF0A4B"/>
    <w:rsid w:val="00AF3BF2"/>
    <w:rsid w:val="00AF4BBC"/>
    <w:rsid w:val="00AF5875"/>
    <w:rsid w:val="00AF65DE"/>
    <w:rsid w:val="00AF733C"/>
    <w:rsid w:val="00B00828"/>
    <w:rsid w:val="00B01529"/>
    <w:rsid w:val="00B04278"/>
    <w:rsid w:val="00B12672"/>
    <w:rsid w:val="00B21299"/>
    <w:rsid w:val="00B2434D"/>
    <w:rsid w:val="00B24D29"/>
    <w:rsid w:val="00B32216"/>
    <w:rsid w:val="00B34716"/>
    <w:rsid w:val="00B3707E"/>
    <w:rsid w:val="00B40DE1"/>
    <w:rsid w:val="00B55FA2"/>
    <w:rsid w:val="00B61A13"/>
    <w:rsid w:val="00B6232D"/>
    <w:rsid w:val="00B648CA"/>
    <w:rsid w:val="00B714C9"/>
    <w:rsid w:val="00B74894"/>
    <w:rsid w:val="00B749FB"/>
    <w:rsid w:val="00B75FF7"/>
    <w:rsid w:val="00B82B83"/>
    <w:rsid w:val="00B909F7"/>
    <w:rsid w:val="00B96A24"/>
    <w:rsid w:val="00BA677D"/>
    <w:rsid w:val="00BA6FDB"/>
    <w:rsid w:val="00BB02D4"/>
    <w:rsid w:val="00BB02ED"/>
    <w:rsid w:val="00BB3CBF"/>
    <w:rsid w:val="00BB5132"/>
    <w:rsid w:val="00BB6E66"/>
    <w:rsid w:val="00BC31F9"/>
    <w:rsid w:val="00BC6F83"/>
    <w:rsid w:val="00BC704C"/>
    <w:rsid w:val="00BD15E1"/>
    <w:rsid w:val="00BD2886"/>
    <w:rsid w:val="00BD34B4"/>
    <w:rsid w:val="00BD43CB"/>
    <w:rsid w:val="00BD71BE"/>
    <w:rsid w:val="00BE26B4"/>
    <w:rsid w:val="00BF0257"/>
    <w:rsid w:val="00BF2C5D"/>
    <w:rsid w:val="00BF31E3"/>
    <w:rsid w:val="00BF5F1C"/>
    <w:rsid w:val="00C04E8A"/>
    <w:rsid w:val="00C07731"/>
    <w:rsid w:val="00C17E83"/>
    <w:rsid w:val="00C218A9"/>
    <w:rsid w:val="00C261F4"/>
    <w:rsid w:val="00C30C6F"/>
    <w:rsid w:val="00C408C7"/>
    <w:rsid w:val="00C40BE6"/>
    <w:rsid w:val="00C47EE0"/>
    <w:rsid w:val="00C534CA"/>
    <w:rsid w:val="00C55D8F"/>
    <w:rsid w:val="00C63006"/>
    <w:rsid w:val="00C67568"/>
    <w:rsid w:val="00C7007B"/>
    <w:rsid w:val="00C71871"/>
    <w:rsid w:val="00C724F1"/>
    <w:rsid w:val="00C728FF"/>
    <w:rsid w:val="00C735F1"/>
    <w:rsid w:val="00C913B6"/>
    <w:rsid w:val="00C91C5E"/>
    <w:rsid w:val="00C92359"/>
    <w:rsid w:val="00C92E44"/>
    <w:rsid w:val="00CA6EA3"/>
    <w:rsid w:val="00CB15A7"/>
    <w:rsid w:val="00CB6D97"/>
    <w:rsid w:val="00CC09CE"/>
    <w:rsid w:val="00CD0E88"/>
    <w:rsid w:val="00CD7B54"/>
    <w:rsid w:val="00CE0C9D"/>
    <w:rsid w:val="00CE1FF5"/>
    <w:rsid w:val="00D10682"/>
    <w:rsid w:val="00D134C5"/>
    <w:rsid w:val="00D23CDC"/>
    <w:rsid w:val="00D26593"/>
    <w:rsid w:val="00D268EB"/>
    <w:rsid w:val="00D26CFF"/>
    <w:rsid w:val="00D274C6"/>
    <w:rsid w:val="00D27AF6"/>
    <w:rsid w:val="00D37270"/>
    <w:rsid w:val="00D446F1"/>
    <w:rsid w:val="00D456D8"/>
    <w:rsid w:val="00D45A0E"/>
    <w:rsid w:val="00D4645D"/>
    <w:rsid w:val="00D4758C"/>
    <w:rsid w:val="00D50169"/>
    <w:rsid w:val="00D5391C"/>
    <w:rsid w:val="00D55C24"/>
    <w:rsid w:val="00D55FAB"/>
    <w:rsid w:val="00D56786"/>
    <w:rsid w:val="00D61EAB"/>
    <w:rsid w:val="00D6706B"/>
    <w:rsid w:val="00D701D3"/>
    <w:rsid w:val="00D724F9"/>
    <w:rsid w:val="00D7445F"/>
    <w:rsid w:val="00D91E8D"/>
    <w:rsid w:val="00D92B1D"/>
    <w:rsid w:val="00D93FEB"/>
    <w:rsid w:val="00DB0323"/>
    <w:rsid w:val="00DB04CF"/>
    <w:rsid w:val="00DB1FA7"/>
    <w:rsid w:val="00DB3BFC"/>
    <w:rsid w:val="00DC0E31"/>
    <w:rsid w:val="00DC4FEF"/>
    <w:rsid w:val="00DC5659"/>
    <w:rsid w:val="00DC70D0"/>
    <w:rsid w:val="00DC7DD6"/>
    <w:rsid w:val="00DD3971"/>
    <w:rsid w:val="00DD663E"/>
    <w:rsid w:val="00DE2A3F"/>
    <w:rsid w:val="00DF5F45"/>
    <w:rsid w:val="00E03E65"/>
    <w:rsid w:val="00E06B55"/>
    <w:rsid w:val="00E13146"/>
    <w:rsid w:val="00E16C01"/>
    <w:rsid w:val="00E174FC"/>
    <w:rsid w:val="00E20070"/>
    <w:rsid w:val="00E20994"/>
    <w:rsid w:val="00E22124"/>
    <w:rsid w:val="00E261AD"/>
    <w:rsid w:val="00E324C0"/>
    <w:rsid w:val="00E40344"/>
    <w:rsid w:val="00E40E4D"/>
    <w:rsid w:val="00E4377A"/>
    <w:rsid w:val="00E46D61"/>
    <w:rsid w:val="00E54061"/>
    <w:rsid w:val="00E545F2"/>
    <w:rsid w:val="00E54CC6"/>
    <w:rsid w:val="00E56C7E"/>
    <w:rsid w:val="00E576BD"/>
    <w:rsid w:val="00E57BE9"/>
    <w:rsid w:val="00E604D6"/>
    <w:rsid w:val="00E67086"/>
    <w:rsid w:val="00E70DD5"/>
    <w:rsid w:val="00E857E4"/>
    <w:rsid w:val="00E85B05"/>
    <w:rsid w:val="00E9139D"/>
    <w:rsid w:val="00E92487"/>
    <w:rsid w:val="00E92812"/>
    <w:rsid w:val="00EA17FF"/>
    <w:rsid w:val="00EA26E5"/>
    <w:rsid w:val="00EA3B02"/>
    <w:rsid w:val="00EA524D"/>
    <w:rsid w:val="00EA5A59"/>
    <w:rsid w:val="00EA6213"/>
    <w:rsid w:val="00EB055B"/>
    <w:rsid w:val="00EB0C39"/>
    <w:rsid w:val="00EB3301"/>
    <w:rsid w:val="00EB588F"/>
    <w:rsid w:val="00EE2068"/>
    <w:rsid w:val="00EE4A18"/>
    <w:rsid w:val="00EF1F69"/>
    <w:rsid w:val="00EF61D1"/>
    <w:rsid w:val="00F05333"/>
    <w:rsid w:val="00F1311C"/>
    <w:rsid w:val="00F154D0"/>
    <w:rsid w:val="00F20DFF"/>
    <w:rsid w:val="00F246F5"/>
    <w:rsid w:val="00F261D6"/>
    <w:rsid w:val="00F26D45"/>
    <w:rsid w:val="00F30C84"/>
    <w:rsid w:val="00F3161F"/>
    <w:rsid w:val="00F35704"/>
    <w:rsid w:val="00F35911"/>
    <w:rsid w:val="00F35DD7"/>
    <w:rsid w:val="00F42D43"/>
    <w:rsid w:val="00F430FC"/>
    <w:rsid w:val="00F463C9"/>
    <w:rsid w:val="00F57965"/>
    <w:rsid w:val="00F62702"/>
    <w:rsid w:val="00F62C88"/>
    <w:rsid w:val="00F71810"/>
    <w:rsid w:val="00F72ABE"/>
    <w:rsid w:val="00F72B1B"/>
    <w:rsid w:val="00F73933"/>
    <w:rsid w:val="00F7596C"/>
    <w:rsid w:val="00F75F2B"/>
    <w:rsid w:val="00F76733"/>
    <w:rsid w:val="00F76A86"/>
    <w:rsid w:val="00F77E12"/>
    <w:rsid w:val="00F814DE"/>
    <w:rsid w:val="00F82906"/>
    <w:rsid w:val="00F86EE6"/>
    <w:rsid w:val="00F90045"/>
    <w:rsid w:val="00F925FE"/>
    <w:rsid w:val="00F959A1"/>
    <w:rsid w:val="00FA0472"/>
    <w:rsid w:val="00FA2291"/>
    <w:rsid w:val="00FA28D1"/>
    <w:rsid w:val="00FA6558"/>
    <w:rsid w:val="00FB2665"/>
    <w:rsid w:val="00FC3DE0"/>
    <w:rsid w:val="00FC61FD"/>
    <w:rsid w:val="00FD09FC"/>
    <w:rsid w:val="00FD2C8C"/>
    <w:rsid w:val="00FD489B"/>
    <w:rsid w:val="00FD530D"/>
    <w:rsid w:val="00FD6F1A"/>
    <w:rsid w:val="00FD791D"/>
    <w:rsid w:val="00FE0217"/>
    <w:rsid w:val="00FE6C15"/>
    <w:rsid w:val="00FF02B6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paragraph" w:customStyle="1" w:styleId="3GPPHeader">
    <w:name w:val="3GPP_Header"/>
    <w:basedOn w:val="BodyText"/>
    <w:rsid w:val="001F02DD"/>
    <w:pPr>
      <w:tabs>
        <w:tab w:val="left" w:pos="1701"/>
        <w:tab w:val="right" w:pos="9639"/>
      </w:tabs>
      <w:spacing w:before="0" w:after="240" w:line="259" w:lineRule="auto"/>
    </w:pPr>
    <w:rPr>
      <w:rFonts w:eastAsiaTheme="minorHAnsi" w:cstheme="minorBidi"/>
      <w:b/>
      <w:sz w:val="24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1F02DD"/>
  </w:style>
  <w:style w:type="character" w:customStyle="1" w:styleId="BodyTextChar">
    <w:name w:val="Body Text Char"/>
    <w:basedOn w:val="DefaultParagraphFont"/>
    <w:link w:val="BodyText"/>
    <w:uiPriority w:val="99"/>
    <w:semiHidden/>
    <w:rsid w:val="001F02DD"/>
    <w:rPr>
      <w:rFonts w:ascii="Arial" w:eastAsia="Times New Roman" w:hAnsi="Arial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29112F"/>
    <w:rPr>
      <w:rFonts w:ascii="Arial" w:eastAsia="Times New Roman" w:hAnsi="Arial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1E02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3GPPNormalText">
    <w:name w:val="3GPP Normal Text"/>
    <w:basedOn w:val="BodyText"/>
    <w:link w:val="3GPPNormalTextChar"/>
    <w:qFormat/>
    <w:rsid w:val="002013B3"/>
    <w:pPr>
      <w:spacing w:before="0"/>
      <w:ind w:left="720" w:hanging="720"/>
    </w:pPr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2013B3"/>
    <w:rPr>
      <w:rFonts w:ascii="Times New Roman" w:eastAsia="MS Mincho" w:hAnsi="Times New Roman"/>
      <w:sz w:val="22"/>
      <w:szCs w:val="24"/>
      <w:lang w:val="x-none" w:eastAsia="x-none"/>
    </w:rPr>
  </w:style>
  <w:style w:type="table" w:styleId="TableGrid">
    <w:name w:val="Table Grid"/>
    <w:basedOn w:val="TableNormal"/>
    <w:uiPriority w:val="39"/>
    <w:rsid w:val="00636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rsid w:val="002F4C25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rsid w:val="002F4C25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1">
    <w:name w:val="B1"/>
    <w:basedOn w:val="List"/>
    <w:link w:val="B1Char"/>
    <w:rsid w:val="00042177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x-none" w:eastAsia="x-none"/>
    </w:rPr>
  </w:style>
  <w:style w:type="character" w:customStyle="1" w:styleId="B1Char">
    <w:name w:val="B1 Char"/>
    <w:link w:val="B1"/>
    <w:rsid w:val="00042177"/>
    <w:rPr>
      <w:rFonts w:ascii="Times New Roman" w:eastAsia="Times New Roman" w:hAnsi="Times New Roman"/>
      <w:lang w:val="x-none" w:eastAsia="x-none"/>
    </w:rPr>
  </w:style>
  <w:style w:type="paragraph" w:customStyle="1" w:styleId="B2">
    <w:name w:val="B2"/>
    <w:basedOn w:val="List2"/>
    <w:link w:val="B2Char"/>
    <w:rsid w:val="00042177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hAnsi="Times New Roman"/>
      <w:lang w:val="x-none" w:eastAsia="x-none"/>
    </w:rPr>
  </w:style>
  <w:style w:type="character" w:customStyle="1" w:styleId="B2Char">
    <w:name w:val="B2 Char"/>
    <w:link w:val="B2"/>
    <w:qFormat/>
    <w:rsid w:val="0004217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042177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FD09FC"/>
    <w:rPr>
      <w:color w:val="808080"/>
    </w:rPr>
  </w:style>
  <w:style w:type="paragraph" w:customStyle="1" w:styleId="Agreement">
    <w:name w:val="Agreement"/>
    <w:basedOn w:val="Normal"/>
    <w:next w:val="Doc-text2"/>
    <w:qFormat/>
    <w:rsid w:val="00207678"/>
    <w:pPr>
      <w:numPr>
        <w:numId w:val="21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b/>
      <w:lang w:val="en-GB" w:eastAsia="ja-JP"/>
    </w:rPr>
  </w:style>
  <w:style w:type="paragraph" w:customStyle="1" w:styleId="TH">
    <w:name w:val="TH"/>
    <w:basedOn w:val="Normal"/>
    <w:rsid w:val="00562645"/>
    <w:pPr>
      <w:keepNext/>
      <w:keepLines/>
      <w:overflowPunct w:val="0"/>
      <w:autoSpaceDE w:val="0"/>
      <w:autoSpaceDN w:val="0"/>
      <w:adjustRightInd w:val="0"/>
      <w:spacing w:after="180"/>
      <w:jc w:val="center"/>
      <w:textAlignment w:val="baseline"/>
    </w:pPr>
    <w:rPr>
      <w:b/>
      <w:lang w:val="en-GB" w:eastAsia="ja-JP"/>
    </w:rPr>
  </w:style>
  <w:style w:type="character" w:customStyle="1" w:styleId="Doc-titleChar">
    <w:name w:val="Doc-title Char"/>
    <w:link w:val="Doc-title"/>
    <w:rsid w:val="0038500A"/>
    <w:rPr>
      <w:rFonts w:ascii="Arial" w:hAnsi="Arial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38500A"/>
    <w:pPr>
      <w:spacing w:after="0"/>
      <w:ind w:left="1259" w:hanging="1259"/>
      <w:jc w:val="left"/>
    </w:pPr>
    <w:rPr>
      <w:rFonts w:eastAsia="Calibri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126CA-92BC-48E1-946D-070B88C75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4989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Majmundar, Milap</cp:lastModifiedBy>
  <cp:revision>3</cp:revision>
  <cp:lastPrinted>2018-09-28T20:14:00Z</cp:lastPrinted>
  <dcterms:created xsi:type="dcterms:W3CDTF">2019-08-15T21:12:00Z</dcterms:created>
  <dcterms:modified xsi:type="dcterms:W3CDTF">2019-08-15T21:13:00Z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